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3FF14" w14:textId="5848E0B3"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lastRenderedPageBreak/>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xml:space="preserve"> in prese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r w:rsidRPr="006432CD">
        <w:rPr>
          <w:rFonts w:ascii="Times New Roman" w:hAnsi="Times New Roman" w:cs="Times New Roman"/>
          <w:i/>
        </w:rPr>
        <w:t>glossy</w:t>
      </w:r>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in prese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18"/>
                              <w:gridCol w:w="1914"/>
                              <w:gridCol w:w="399"/>
                              <w:gridCol w:w="399"/>
                              <w:gridCol w:w="399"/>
                              <w:gridCol w:w="399"/>
                              <w:gridCol w:w="399"/>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2"/>
      <w:footerReference w:type="even" r:id="rId13"/>
      <w:footerReference w:type="default" r:id="rId1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B3D08" w14:textId="77777777" w:rsidR="0013021B" w:rsidRDefault="0013021B" w:rsidP="006126CC">
      <w:r>
        <w:separator/>
      </w:r>
    </w:p>
  </w:endnote>
  <w:endnote w:type="continuationSeparator" w:id="0">
    <w:p w14:paraId="160D0C21" w14:textId="77777777" w:rsidR="0013021B" w:rsidRDefault="0013021B"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dobe Caslon Pro">
    <w:altName w:val="Georgia"/>
    <w:panose1 w:val="0205050205050A020403"/>
    <w:charset w:val="00"/>
    <w:family w:val="auto"/>
    <w:pitch w:val="variable"/>
    <w:sig w:usb0="00000001" w:usb1="00000001" w:usb2="00000000" w:usb3="00000000" w:csb0="00000093" w:csb1="00000000"/>
  </w:font>
  <w:font w:name="Calibri">
    <w:panose1 w:val="020F0502020204030204"/>
    <w:charset w:val="00"/>
    <w:family w:val="auto"/>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auto"/>
    <w:pitch w:val="variable"/>
    <w:sig w:usb0="00000003" w:usb1="00000000" w:usb2="00000000" w:usb3="00000000" w:csb0="00000001"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D1C20">
      <w:rPr>
        <w:rStyle w:val="Numeropagina"/>
        <w:noProof/>
      </w:rPr>
      <w:t>6</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9DED0" w14:textId="77777777" w:rsidR="0013021B" w:rsidRDefault="0013021B" w:rsidP="006126CC">
      <w:r>
        <w:separator/>
      </w:r>
    </w:p>
  </w:footnote>
  <w:footnote w:type="continuationSeparator" w:id="0">
    <w:p w14:paraId="6F29AD1E" w14:textId="77777777" w:rsidR="0013021B" w:rsidRDefault="0013021B"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ctiveWritingStyle w:appName="MSWord" w:lang="it-IT" w:vendorID="64" w:dllVersion="131078" w:nlCheck="1" w:checkStyle="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D1C20"/>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AD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atterepredefinitoparagrafo"/>
    <w:link w:val="Pidipagina"/>
    <w:uiPriority w:val="99"/>
    <w:rsid w:val="006126CC"/>
  </w:style>
  <w:style w:type="character" w:styleId="Numeropagina">
    <w:name w:val="page number"/>
    <w:basedOn w:val="Carattere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attere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atterepredefinitoparagrafo"/>
    <w:link w:val="Testonotaapidipagina"/>
    <w:uiPriority w:val="99"/>
    <w:rsid w:val="00912360"/>
  </w:style>
  <w:style w:type="character" w:styleId="Rimandonotaapidipagina">
    <w:name w:val="footnote reference"/>
    <w:basedOn w:val="Caratterepredefinitoparagrafo"/>
    <w:uiPriority w:val="99"/>
    <w:unhideWhenUsed/>
    <w:rsid w:val="00912360"/>
    <w:rPr>
      <w:vertAlign w:val="superscript"/>
    </w:rPr>
  </w:style>
  <w:style w:type="character" w:styleId="Collegamentoipertestuale">
    <w:name w:val="Hyperlink"/>
    <w:basedOn w:val="Caratterepredefinitoparagrafo"/>
    <w:uiPriority w:val="99"/>
    <w:unhideWhenUsed/>
    <w:rsid w:val="0053043B"/>
    <w:rPr>
      <w:color w:val="0563C1" w:themeColor="hyperlink"/>
      <w:u w:val="single"/>
    </w:rPr>
  </w:style>
  <w:style w:type="character" w:styleId="Rimandocommento">
    <w:name w:val="annotation reference"/>
    <w:basedOn w:val="Carattere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attere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A23EE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atterepredefinitoparagrafo"/>
    <w:link w:val="Pidipagina"/>
    <w:uiPriority w:val="99"/>
    <w:rsid w:val="006126CC"/>
  </w:style>
  <w:style w:type="character" w:styleId="Numeropagina">
    <w:name w:val="page number"/>
    <w:basedOn w:val="Carattere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attere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atterepredefinitoparagrafo"/>
    <w:link w:val="Testonotaapidipagina"/>
    <w:uiPriority w:val="99"/>
    <w:rsid w:val="00912360"/>
  </w:style>
  <w:style w:type="character" w:styleId="Rimandonotaapidipagina">
    <w:name w:val="footnote reference"/>
    <w:basedOn w:val="Caratterepredefinitoparagrafo"/>
    <w:uiPriority w:val="99"/>
    <w:unhideWhenUsed/>
    <w:rsid w:val="00912360"/>
    <w:rPr>
      <w:vertAlign w:val="superscript"/>
    </w:rPr>
  </w:style>
  <w:style w:type="character" w:styleId="Collegamentoipertestuale">
    <w:name w:val="Hyperlink"/>
    <w:basedOn w:val="Caratterepredefinitoparagrafo"/>
    <w:uiPriority w:val="99"/>
    <w:unhideWhenUsed/>
    <w:rsid w:val="0053043B"/>
    <w:rPr>
      <w:color w:val="0563C1" w:themeColor="hyperlink"/>
      <w:u w:val="single"/>
    </w:rPr>
  </w:style>
  <w:style w:type="character" w:styleId="Rimandocommento">
    <w:name w:val="annotation reference"/>
    <w:basedOn w:val="Carattere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attere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4.xml><?xml version="1.0" encoding="utf-8"?>
<ds:datastoreItem xmlns:ds="http://schemas.openxmlformats.org/officeDocument/2006/customXml" ds:itemID="{FDA8FEF8-A9FC-164A-93D2-C719726B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4278</Words>
  <Characters>24391</Characters>
  <Application>Microsoft Macintosh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Tamara Valentini</cp:lastModifiedBy>
  <cp:revision>2</cp:revision>
  <dcterms:created xsi:type="dcterms:W3CDTF">2020-03-27T13:03:00Z</dcterms:created>
  <dcterms:modified xsi:type="dcterms:W3CDTF">2020-03-27T13:03:00Z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